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3EAD6"/>
  <w:body>
    <w:p>
      <w:pPr>
        <w:spacing w:after="80"/>
        <w:ind w:firstLine="0"/>
        <w:jc w:val="left"/>
        <w:pBdr>
          <w:bottom w:val="single" w:sz="12" w:space="4" w:color="9E1C14"/>
        </w:pBdr>
      </w:pPr>
      <w:r>
        <w:rPr>
          <w:rFonts w:ascii="Georgia" w:hAnsi="Georgia" w:eastAsia="黑体" w:cs="Georgia"/>
          <w:b/>
          <w:i w:val="0"/>
          <w:color w:val="9E1C14"/>
          <w:sz w:val="44"/>
        </w:rPr>
        <w:t>seL4：精化可以成为开发本身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24218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c1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421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向软件使命时代进军 · 方法经 案-10 / 13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本文独立成篇。作者 陈鹏 · 二〇二六年十月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关节：高峰在精化成为开发，不在「形式化证明很强」。不能误读成 seL4 已经是使命软件，也不能误读成一次缓存漏洞等于证明失败。它示范方法论里「步骤」可以长成工业。它同时示范保证必须把假设说出来。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经过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seL4 是被形式化验证的微内核。内核约有 8,700 行 C 代码和 600 行汇编。C 实现之前，团队先用 Haskell 写成约 5,700 行的可执行规范，作为中间层自动译入 Isabelle/HOL；高性能的 C 是手工写出的，不是从 Haskell 生成的。证明脚本约 20 万行，中间定理超过 1 万条。小内核、大证明，是同一件事的两面。它的方法不是先写出 C 代码，再请证明团队事后补一份正确性论证。精化是开发本身：从抽象规范，经可执行规范，到 C 实现，每一步都要求后一层表现前一层。证明与代码一起生长。这把「验证」从项目末尾的质量活动，改写成与实现同一条绳子上的工作。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证明是条件式的。内核正确性结论可以写成：在假设 A、规格 S、不变式 I、机器模型 M 同时成立时，性质 P 成立。少写任何一截，P 都不自动成立。官方列明：编译器、汇编、硬件、引导、DMA、时序信道等在假设里。用户态程序不在证明里。设备驱动若不在内核、又未被同样约束，就不在那条绳子上。硬件若走出机器模型，证明不负责。条件式不是缺陷。条件式是诚实。把条件式说成「已经全面正确」，才是假使命。官方说得干脆：即使运行 seL4，也不会自动意味着整个系统安全。已验证的内核 ≠ 已验证的系统。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2026 年 7 月 22 日发布的 seL4 16.0.0，修复了已验证 AArch32 配置上缓存维护路径的一处内核崩溃。那一次失败没有推翻证明。「已验证内核出了问题」与「形式证明写错了」，是两个命题。它指出机器模型与真实硬件之间的缝，指出假设 M 的边界。高峰停在被写下的假设里。假设之外，仍是工程。把漏洞写成「形式化无用」，是把条件式保证误读成无条件担保。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它还示范另一件更少被写成标语的事：证明的对象必须足够小，边界必须足够硬。微内核把机制留在内核，把策略推出内核。TCB 被刻意切薄。切薄不是为了漂亮，是为了让 A、S、I、M 能够被写全、被检查、被在变更时重开。庞大的单体也可以声称「我们也证明」。证明若不能跟着横切变更重新打开，声称是海报。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10-pas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精化可以成为开发本身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剖析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定义上，seL4 把「内核不得破坏隔离」写成可被证明的性质，而不是写成设计原则。禁区进入规格。能力（系统调用、调度、IPC）被放在禁区之后。这是定义这一步在高保证实践里真正做成了的部分。它没有把「运行于 seL4 之上的使命」一起定义。内核正确，不等于飞机、医院、清算已经绑住目的。下层高峰不自动成为上层绳子。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对齐上，精化链就是对齐的工业形态：规范、可执行规范、C 代码、机器模型，被要求是同一件事的不同高度。这比三张检查单硬得多。它仍可能在假设处不对齐——规范写的不是托付，机器模型不是这块硅，用户态已经把红许可证做成服务。对齐在内核里成立，托付可以在内核之上失败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达成上，发布一个被证明的内核版本，不是达成一次具体托付。达成仍要问：这一次运行、这一次配置、这一次用户态、这一次硬件，是否仍在 A ∧ S ∧ I ∧ M 里。16.0.0 的缓存问题是达成这一问的实例。版本号绿灯，不等于这一块芯片上的这一次启动仍在模型里。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人的位置被方法改写。立法进入规格。划界进入内核与用户态的切分，进入假设清单。审判进入证明检查器与后续的漏洞披露。独立验证者存在：证明对象、证明工具、可被第三方重跑的脚本，使「因为我们说正确」不够用。这是角色这一条真正出现的地方。它仍不是学科。一套被维护的证明，不等于一门可以开课、失败可以积累、职业可以认证的学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对使命软件工程的借鉴不是「去把所有软件写成 seL4」。借鉴是：精化可以成为开发；保证必须把假设写成第一类对象；TCB 必须切到可被证明的厚度；横切变更必须重开证明。少了任何一条，抄内核广告没有用。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10-cu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保证是条件式的。内核高峰停在内核</w:t>
      </w:r>
    </w:p>
    <w:p>
      <w:pPr>
        <w:spacing w:before="360" w:after="160"/>
        <w:ind w:firstLine="0"/>
        <w:pBdr>
          <w:left w:val="single" w:sz="18" w:space="10" w:color="9E1C14"/>
        </w:pBdr>
        <w:shd w:val="clear" w:color="auto" w:fill="FAF6EE"/>
      </w:pPr>
      <w:r>
        <w:rPr>
          <w:rFonts w:ascii="Georgia" w:hAnsi="Georgia" w:eastAsia="黑体" w:cs="Georgia"/>
          <w:b/>
          <w:i w:val="0"/>
          <w:color w:val="9E1C14"/>
          <w:sz w:val="28"/>
        </w:rPr>
        <w:t>对方法的一针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精化是开发，不是附录。保证是条件式的，假设必须可被盘问。内核高峰停在内核。使命在内核之上仍要另绑。16.0.0 的崩溃证明的是边界，不是「证明无用」。把条件式说成已经完成的操作系统，是假使命。</w:t>
      </w:r>
    </w:p>
    <w:p>
      <w:pPr>
        <w:spacing w:before="200" w:after="200"/>
        <w:ind w:firstLine="0"/>
        <w:pBdr>
          <w:bottom w:val="single" w:sz="12" w:space="4" w:color="D7C7A8"/>
        </w:pBdr>
      </w:pP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知识操作系统是架构主张，不是已经交付的操作系统。使命软件工程学尚没有形成。</w:t>
      </w: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详细论证、数据口径与未解清单，见同题专著《向软件使命时代进军》第13稿。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在线阅读：檄文 </w:t>
      </w:r>
      <w:hyperlink r:id="rId14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专著 </w:t>
      </w:r>
      <w:hyperlink r:id="rId15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kos-tl.github.io/book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体系图 </w:t>
      </w:r>
      <w:hyperlink r:id="rId16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kos-tl.github.io/system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典型案例 </w:t>
      </w:r>
      <w:hyperlink r:id="rId17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kos-tl.github.io/cases</w:t>
        </w:r>
      </w:hyperlink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上一篇：《Palantir：有世界、有行动，缺验证与证据》　下一篇：《CompCert：关掉编译器假设》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https://kos-tl.github.io/cases/sel4/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b w:val="0"/>
        <w:i w:val="0"/>
        <w:color w:val="6B5E4E"/>
        <w:sz w:val="16"/>
      </w:rPr>
      <w:t>陈鹏  ·  学尚未形成  ·  kos-tl.github.io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楷体" w:cs="Times New Roman"/>
        <w:b w:val="0"/>
        <w:i w:val="0"/>
        <w:color w:val="8A6A32"/>
        <w:sz w:val="18"/>
      </w:rPr>
      <w:t>向软件使命时代进军 · 方法经 · 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420" w:after="160"/>
    </w:pPr>
    <w:rPr>
      <w:rFonts w:ascii="Times New Roman" w:hAnsi="Times New Roman" w:eastAsia="宋体"/>
      <w:color w:val="1C171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kos-tl.github.io/index.html?lang=zh" TargetMode="External"/><Relationship Id="rId15" Type="http://schemas.openxmlformats.org/officeDocument/2006/relationships/hyperlink" Target="https://kos-tl.github.io/book/" TargetMode="External"/><Relationship Id="rId16" Type="http://schemas.openxmlformats.org/officeDocument/2006/relationships/hyperlink" Target="https://kos-tl.github.io/system/" TargetMode="External"/><Relationship Id="rId17" Type="http://schemas.openxmlformats.org/officeDocument/2006/relationships/hyperlink" Target="https://kos-tl.github.io/ca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