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3EAD6"/>
  <w:body>
    <w:p>
      <w:pPr>
        <w:spacing w:after="80"/>
        <w:ind w:firstLine="0"/>
        <w:jc w:val="left"/>
        <w:pBdr>
          <w:bottom w:val="single" w:sz="12" w:space="4" w:color="9E1C14"/>
        </w:pBdr>
      </w:pPr>
      <w:r>
        <w:rPr>
          <w:rFonts w:ascii="Georgia" w:hAnsi="Georgia" w:eastAsia="黑体" w:cs="Georgia"/>
          <w:b/>
          <w:i w:val="0"/>
          <w:color w:val="9E1C14"/>
          <w:sz w:val="44"/>
        </w:rPr>
        <w:t>Knight Capital：四十五分钟的假达成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242184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-c0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4218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向软件使命时代进军 · 方法经 案-03 / 13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本文独立成篇。作者 陈鹏 · 二〇二六年十月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关节：达成若等于机器还在跑、订单还在出，高度可用可以同时是一次假达成。不能误读成运维没盯盘，也不能误读成高频交易原罪。不可逆的市场行动权事先交给了软件。旧代码被重新激活，检查不在那次下单的路径上。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经过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2012 年 8 月 1 日早上，美国最大的做市商之一 Knight Capital 像往常一样准备迎接纽约证券交易所开盘后的第一波交易。它在 2012 年上半年处理了约 11% 的美国股票交易，是市场流动性的重要提供者。系统自动执行大量高频交易，为零售经纪商处理订单。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那天早上，Knight Capital 安装了一套与纽交所「零售流动性计划」相关的新交易软件。安装过程中，一套旧的、原本处于休眠状态的代码被意外重新激活。一旦触发，这套代码会在每次交易中把订单量放大一千倍。开盘后短短四十五分钟里，错误的订单洪流涌入纽交所，数量高达数亿股，涉及一百多只股票。这些交易造成约 4.4 亿美元的税前亏损——相当于每分钟亏损一千万美元。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Knight Capital 在两日内股价暴跌约 70%–80%，市值从约十亿美元缩水到三亿多美元。几家重要客户，包括 TD Ameritrade、Vanguard、Fidelity、E*Trade 等，停止向它路由订单。一家有着十五年历史、在行业内声誉卓著的公司，在不到一个小时里走到崩溃边缘。后来被一群私募基金注资四亿美元才得以存活，代价是大部分股权被稀释。美国证券交易委员会主席玛丽·夏皮罗称这一事件「不可接受」，并推动要求市场运营方确保交易系统的容量和完整性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同一类结构在金融里反复出现。2010 年 5 月 6 日美股闪崩，高频交易软件在流动性抽空时继续按自己的局部逻辑下单。2013 年光大证券 72.7 亿元成交。三次都不是「行情波动」。三次都是不可逆的市场行动权，已经事先交给了软件。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3-pass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四十五分钟里系统高度可用，达成的却是旧代码</w:t>
      </w:r>
    </w:p>
    <w:p>
      <w:pPr>
        <w:spacing w:before="360" w:after="160"/>
        <w:ind w:firstLine="0"/>
        <w:pBdr>
          <w:bottom w:val="single" w:sz="12" w:space="4" w:color="D7C7A8"/>
        </w:pBdr>
      </w:pPr>
      <w:r>
        <w:rPr>
          <w:rFonts w:ascii="Georgia" w:hAnsi="Georgia" w:eastAsia="黑体" w:cs="Georgia"/>
          <w:b/>
          <w:i w:val="0"/>
          <w:color w:val="9E1C14"/>
          <w:sz w:val="28"/>
        </w:rPr>
        <w:t>剖析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达成是这一案的主关节。传统方法里，达成是上线。上线只说明它开始跑。服务等级协议的绿灯只说明机器还健康。可观测性可以告诉你请求耗时、错误率和调用链，同时完全无法告诉你这一次决策是不是仍在做被托付的那一件。那四十五分钟里，系统高度可用：订单发出去了，交易所收到了，市场在成交。按运行指标，它达成了。按托付，它在执行一份被重新激活的旧代码。做市的托付是提供流动性、按被允许的数量与路径处理零售订单。放大一千倍不是这件托付。KPI 更好看的时候，目的已经换了。使命漂移不必等崩溃。这里甚至来不及漂，是一次被安装流程唤醒的假执行。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对齐同样失败。新软件要上的是零售流动性计划。跑着的是休眠代码。写下的、编出的、跑着的不是同一件事。变更把旧路径留在可执行镜像里，又没有一道不可绕过的检查问：这一次下单走的是哪一份代码、哪一个配置、哪一条禁区。配置与脚本因为「不是代码」而常逃过审查。生产环境的一次安装，可以绕过全部质量门禁。横切变更会把形式化证明的账重新打开；哪怕没有形式化证明，横切变更也必须重验证。安装新代码却激活旧代码，是变更纪律的真空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定义上，禁区应当先于能力：不得把订单量放大到未被授权的尺度；不得让休眠代码进入生产路径。禁区若只写在发布说明里，不出现在那次下单必经的检查里，能力会自己找到更顺手的那一条路。人的位置：立法应当规定哪些代码允许进入开盘；划界应当让旧路径在物理上不可达，而不是「不要去点」；审判应当能在四十五分钟内停机，而不是事后从成交回报里看见亏损。把人放在屏幕前盯盘，不是审判。审判要有关掉机器的权力，以及关掉之前就已经不可绕过的检查。</w:t>
      </w:r>
    </w:p>
    <w:p>
      <w:pPr>
        <w:spacing w:after="160"/>
        <w:ind w:firstLine="420"/>
      </w:pPr>
      <w:r>
        <w:rPr>
          <w:rFonts w:ascii="Times New Roman" w:hAnsi="Times New Roman" w:eastAsia="宋体" w:cs="Times New Roman"/>
          <w:b w:val="0"/>
          <w:i w:val="0"/>
          <w:color w:val="1C1712"/>
          <w:sz w:val="24"/>
        </w:rPr>
        <w:t>分级上，这是关键执行级。自主执行不可逆、高影响的市场行动，要求完整论证、事前确认与独立验证。零售流动性计划的新软件可以按项目交付。休眠代码被当作「反正不会跑」留在包里，是把 L3 当成了内部报表。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688000" cy="31994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c03-cut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31994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40"/>
        <w:ind w:firstLine="0"/>
        <w:jc w:val="center"/>
      </w:pPr>
      <w:r>
        <w:rPr>
          <w:rFonts w:ascii="Times New Roman" w:hAnsi="Times New Roman" w:eastAsia="楷体" w:cs="Times New Roman"/>
          <w:b w:val="0"/>
          <w:i w:val="0"/>
          <w:color w:val="6B5E4E"/>
          <w:sz w:val="18"/>
        </w:rPr>
        <w:t>上线不是达成。可用不是仍在绳子上</w:t>
      </w:r>
    </w:p>
    <w:p>
      <w:pPr>
        <w:spacing w:before="360" w:after="160"/>
        <w:ind w:firstLine="0"/>
        <w:pBdr>
          <w:left w:val="single" w:sz="18" w:space="10" w:color="9E1C14"/>
        </w:pBdr>
        <w:shd w:val="clear" w:color="auto" w:fill="FAF6EE"/>
      </w:pPr>
      <w:r>
        <w:rPr>
          <w:rFonts w:ascii="Georgia" w:hAnsi="Georgia" w:eastAsia="黑体" w:cs="Georgia"/>
          <w:b/>
          <w:i w:val="0"/>
          <w:color w:val="9E1C14"/>
          <w:sz w:val="28"/>
        </w:rPr>
        <w:t>对方法的一针</w:t>
      </w:r>
    </w:p>
    <w:p>
      <w:pPr>
        <w:spacing w:before="160" w:after="240"/>
        <w:ind w:firstLine="0" w:left="227"/>
        <w:pBdr>
          <w:left w:val="single" w:sz="18" w:space="10" w:color="9E1C14"/>
        </w:pBdr>
        <w:shd w:val="clear" w:color="auto" w:fill="FAF6EE"/>
      </w:pPr>
      <w:r>
        <w:rPr>
          <w:rFonts w:ascii="Times New Roman" w:hAnsi="Times New Roman" w:eastAsia="楷体" w:cs="Times New Roman"/>
          <w:b w:val="0"/>
          <w:i w:val="0"/>
          <w:color w:val="3A3229"/>
          <w:sz w:val="24"/>
        </w:rPr>
        <w:t>上线不是达成。可用不是仍在绳子上。变更必须使未被授权的路径不可达，而不是指望它继续休眠。四十五分钟足够毁掉一家做市商，不够开完一场评审会。达成必须覆盖这一次运行，并且能被停下。</w:t>
      </w:r>
    </w:p>
    <w:p>
      <w:pPr>
        <w:spacing w:before="200" w:after="200"/>
        <w:ind w:firstLine="0"/>
        <w:pBdr>
          <w:bottom w:val="single" w:sz="12" w:space="4" w:color="D7C7A8"/>
        </w:pBdr>
      </w:pP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知识操作系统是架构主张，不是已经交付的操作系统。使命软件工程学尚没有形成。</w:t>
      </w:r>
    </w:p>
    <w:p>
      <w:pPr>
        <w:spacing w:after="160"/>
        <w:ind w:firstLine="0"/>
      </w:pPr>
      <w:r>
        <w:rPr>
          <w:rFonts w:ascii="Times New Roman" w:hAnsi="Times New Roman" w:eastAsia="宋体" w:cs="Times New Roman"/>
          <w:b w:val="0"/>
          <w:i w:val="0"/>
          <w:color w:val="6B5E4E"/>
          <w:sz w:val="21"/>
        </w:rPr>
        <w:t>详细论证、数据口径与未解清单，见同题专著《向软件使命时代进军》第13稿。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在线阅读：檄文 </w:t>
      </w:r>
      <w:hyperlink r:id="rId14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专著 </w:t>
      </w:r>
      <w:hyperlink r:id="rId15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kos-tl.github.io/book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体系图 </w:t>
      </w:r>
      <w:hyperlink r:id="rId16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kos-tl.github.io/system</w:t>
        </w:r>
      </w:hyperlink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 xml:space="preserve"> · 典型案例 </w:t>
      </w:r>
      <w:hyperlink r:id="rId17">
        <w:r>
          <w:rPr>
            <w:rFonts w:ascii="Times New Roman" w:hAnsi="Times New Roman" w:eastAsia="楷体"/>
            <w:color w:val="9E1C14"/>
            <w:u w:val="single"/>
            <w:sz w:val="21"/>
          </w:rPr>
          <w:t xml:space="preserve">kos-tl.github.io/cases</w:t>
        </w:r>
      </w:hyperlink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上一篇：《光大证券：检查在场，不等于检查在位》　下一篇：《爱国者宰赫兰：忠实执行了不再成立的假设》</w:t>
      </w:r>
    </w:p>
    <w:p>
      <w:pPr>
        <w:spacing w:after="120"/>
        <w:ind w:firstLine="0"/>
      </w:pPr>
      <w:r>
        <w:rPr>
          <w:rFonts w:ascii="Times New Roman" w:hAnsi="Times New Roman" w:eastAsia="楷体" w:cs="Times New Roman"/>
          <w:b w:val="0"/>
          <w:i w:val="0"/>
          <w:color w:val="6B5E4E"/>
          <w:sz w:val="21"/>
        </w:rPr>
        <w:t>https://kos-tl.github.io/cases/knight/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b w:val="0"/>
        <w:i w:val="0"/>
        <w:color w:val="6B5E4E"/>
        <w:sz w:val="16"/>
      </w:rPr>
      <w:t>陈鹏  ·  学尚未形成  ·  kos-tl.github.io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楷体" w:cs="Times New Roman"/>
        <w:b w:val="0"/>
        <w:i w:val="0"/>
        <w:color w:val="8A6A32"/>
        <w:sz w:val="18"/>
      </w:rPr>
      <w:t>向软件使命时代进军 · 方法经 · 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420" w:after="160"/>
    </w:pPr>
    <w:rPr>
      <w:rFonts w:ascii="Times New Roman" w:hAnsi="Times New Roman" w:eastAsia="宋体"/>
      <w:color w:val="1C1712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hyperlink" Target="https://kos-tl.github.io/index.html?lang=zh" TargetMode="External"/><Relationship Id="rId15" Type="http://schemas.openxmlformats.org/officeDocument/2006/relationships/hyperlink" Target="https://kos-tl.github.io/book/" TargetMode="External"/><Relationship Id="rId16" Type="http://schemas.openxmlformats.org/officeDocument/2006/relationships/hyperlink" Target="https://kos-tl.github.io/system/" TargetMode="External"/><Relationship Id="rId17" Type="http://schemas.openxmlformats.org/officeDocument/2006/relationships/hyperlink" Target="https://kos-tl.github.io/cas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